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6D3B7D"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6D3B7D">
        <w:rPr>
          <w:rFonts w:cs="Arial"/>
          <w:bCs/>
          <w:sz w:val="24"/>
          <w:szCs w:val="24"/>
        </w:rPr>
        <w:t>3GPP TSG RAN WG1 Meeting #</w:t>
      </w:r>
      <w:r w:rsidR="00895B1D" w:rsidRPr="006D3B7D">
        <w:rPr>
          <w:rFonts w:eastAsia="MS Mincho" w:cs="Arial"/>
          <w:bCs/>
          <w:sz w:val="24"/>
          <w:szCs w:val="24"/>
          <w:lang w:eastAsia="ja-JP"/>
        </w:rPr>
        <w:t>85</w:t>
      </w:r>
      <w:r w:rsidRPr="006D3B7D">
        <w:rPr>
          <w:rFonts w:eastAsia="MS Mincho" w:cs="Arial"/>
          <w:bCs/>
          <w:sz w:val="24"/>
          <w:szCs w:val="24"/>
          <w:lang w:eastAsia="ja-JP"/>
        </w:rPr>
        <w:tab/>
      </w:r>
      <w:r w:rsidRPr="006D3B7D">
        <w:rPr>
          <w:rFonts w:eastAsia="MS Mincho" w:cs="Arial"/>
          <w:bCs/>
          <w:sz w:val="24"/>
          <w:szCs w:val="24"/>
          <w:lang w:eastAsia="ja-JP"/>
        </w:rPr>
        <w:tab/>
      </w:r>
      <w:r w:rsidR="006D3B7D" w:rsidRPr="006D3B7D">
        <w:rPr>
          <w:rFonts w:cs="Arial"/>
          <w:bCs/>
          <w:sz w:val="24"/>
          <w:szCs w:val="24"/>
        </w:rPr>
        <w:t>R1-165255</w:t>
      </w:r>
    </w:p>
    <w:p w:rsidR="003B44BB" w:rsidRPr="006D3B7D" w:rsidRDefault="00895B1D" w:rsidP="003B44BB">
      <w:pPr>
        <w:pStyle w:val="Header"/>
        <w:rPr>
          <w:rFonts w:eastAsia="MS Mincho" w:cs="Arial"/>
          <w:bCs/>
          <w:sz w:val="24"/>
          <w:szCs w:val="24"/>
          <w:lang w:val="en-US" w:eastAsia="ja-JP"/>
        </w:rPr>
      </w:pPr>
      <w:r w:rsidRPr="006D3B7D">
        <w:rPr>
          <w:rFonts w:eastAsia="MS Mincho" w:cs="Arial"/>
          <w:bCs/>
          <w:sz w:val="24"/>
          <w:szCs w:val="24"/>
          <w:lang w:val="en-US" w:eastAsia="ja-JP"/>
        </w:rPr>
        <w:t xml:space="preserve">Nanjing, </w:t>
      </w:r>
      <w:r w:rsidR="003B44BB" w:rsidRPr="006D3B7D">
        <w:rPr>
          <w:rFonts w:eastAsia="MS Mincho" w:cs="Arial"/>
          <w:bCs/>
          <w:sz w:val="24"/>
          <w:szCs w:val="24"/>
          <w:lang w:val="en-US" w:eastAsia="ja-JP"/>
        </w:rPr>
        <w:t xml:space="preserve">, </w:t>
      </w:r>
      <w:r w:rsidRPr="006D3B7D">
        <w:rPr>
          <w:rFonts w:eastAsia="MS Mincho" w:cs="Arial"/>
          <w:bCs/>
          <w:sz w:val="24"/>
          <w:szCs w:val="24"/>
          <w:lang w:val="en-US" w:eastAsia="ja-JP"/>
        </w:rPr>
        <w:t>23</w:t>
      </w:r>
      <w:r w:rsidRPr="006D3B7D">
        <w:rPr>
          <w:rFonts w:eastAsia="MS Mincho" w:cs="Arial"/>
          <w:bCs/>
          <w:sz w:val="24"/>
          <w:szCs w:val="24"/>
          <w:vertAlign w:val="superscript"/>
          <w:lang w:val="en-US" w:eastAsia="ja-JP"/>
        </w:rPr>
        <w:t>rd</w:t>
      </w:r>
      <w:r w:rsidRPr="006D3B7D">
        <w:rPr>
          <w:rFonts w:eastAsia="MS Mincho" w:cs="Arial"/>
          <w:bCs/>
          <w:sz w:val="24"/>
          <w:szCs w:val="24"/>
          <w:lang w:val="en-US" w:eastAsia="ja-JP"/>
        </w:rPr>
        <w:t xml:space="preserve"> </w:t>
      </w:r>
      <w:r w:rsidR="003B44BB" w:rsidRPr="006D3B7D">
        <w:rPr>
          <w:rFonts w:eastAsia="MS Mincho" w:cs="Arial"/>
          <w:bCs/>
          <w:sz w:val="24"/>
          <w:szCs w:val="24"/>
          <w:lang w:val="en-US" w:eastAsia="ja-JP"/>
        </w:rPr>
        <w:t xml:space="preserve">- </w:t>
      </w:r>
      <w:r w:rsidRPr="006D3B7D">
        <w:rPr>
          <w:rFonts w:eastAsia="MS Mincho" w:cs="Arial"/>
          <w:bCs/>
          <w:sz w:val="24"/>
          <w:szCs w:val="24"/>
          <w:lang w:val="en-US" w:eastAsia="ja-JP"/>
        </w:rPr>
        <w:t>27</w:t>
      </w:r>
      <w:r w:rsidRPr="006D3B7D">
        <w:rPr>
          <w:rFonts w:eastAsia="MS Mincho" w:cs="Arial"/>
          <w:bCs/>
          <w:sz w:val="24"/>
          <w:szCs w:val="24"/>
          <w:vertAlign w:val="superscript"/>
          <w:lang w:val="en-US" w:eastAsia="ja-JP"/>
        </w:rPr>
        <w:t>th</w:t>
      </w:r>
      <w:r w:rsidRPr="006D3B7D">
        <w:rPr>
          <w:rFonts w:eastAsia="MS Mincho" w:cs="Arial"/>
          <w:bCs/>
          <w:sz w:val="24"/>
          <w:szCs w:val="24"/>
          <w:lang w:val="en-US" w:eastAsia="ja-JP"/>
        </w:rPr>
        <w:t xml:space="preserve"> May </w:t>
      </w:r>
      <w:r w:rsidR="003B44BB" w:rsidRPr="006D3B7D">
        <w:rPr>
          <w:rFonts w:eastAsia="MS Mincho" w:cs="Arial"/>
          <w:bCs/>
          <w:sz w:val="24"/>
          <w:szCs w:val="24"/>
          <w:lang w:val="en-US" w:eastAsia="ja-JP"/>
        </w:rPr>
        <w:t>201</w:t>
      </w:r>
      <w:r w:rsidR="008F4B7E" w:rsidRPr="006D3B7D">
        <w:rPr>
          <w:rFonts w:eastAsia="MS Mincho" w:cs="Arial"/>
          <w:bCs/>
          <w:sz w:val="24"/>
          <w:szCs w:val="24"/>
          <w:lang w:val="en-US" w:eastAsia="ja-JP"/>
        </w:rPr>
        <w:t>6</w:t>
      </w:r>
    </w:p>
    <w:p w:rsidR="00005DBD" w:rsidRPr="006D3B7D" w:rsidRDefault="00005DBD" w:rsidP="00005DBD">
      <w:pPr>
        <w:pStyle w:val="FootnoteText"/>
        <w:rPr>
          <w:lang w:val="en-US"/>
        </w:rPr>
      </w:pPr>
    </w:p>
    <w:p w:rsidR="00005DBD" w:rsidRPr="006D3B7D" w:rsidRDefault="00005DBD" w:rsidP="00005DBD">
      <w:pPr>
        <w:pStyle w:val="TdocHeader2"/>
        <w:jc w:val="left"/>
        <w:rPr>
          <w:sz w:val="20"/>
          <w:lang w:val="en-US"/>
        </w:rPr>
      </w:pPr>
      <w:r w:rsidRPr="006D3B7D">
        <w:rPr>
          <w:sz w:val="20"/>
          <w:lang w:val="en-US"/>
        </w:rPr>
        <w:t xml:space="preserve">Source: </w:t>
      </w:r>
      <w:r w:rsidRPr="006D3B7D">
        <w:rPr>
          <w:sz w:val="20"/>
          <w:lang w:val="en-US"/>
        </w:rPr>
        <w:tab/>
        <w:t>Ericsson</w:t>
      </w:r>
    </w:p>
    <w:p w:rsidR="00005DBD" w:rsidRPr="006D3B7D" w:rsidRDefault="00005DBD" w:rsidP="00005DBD">
      <w:pPr>
        <w:pStyle w:val="TdocHeader2"/>
        <w:jc w:val="left"/>
        <w:rPr>
          <w:sz w:val="20"/>
          <w:lang w:val="en-US"/>
        </w:rPr>
      </w:pPr>
      <w:r w:rsidRPr="006D3B7D">
        <w:rPr>
          <w:sz w:val="20"/>
          <w:lang w:val="en-US"/>
        </w:rPr>
        <w:t>Title:</w:t>
      </w:r>
      <w:bookmarkStart w:id="2" w:name="Title"/>
      <w:bookmarkEnd w:id="2"/>
      <w:r w:rsidRPr="006D3B7D">
        <w:rPr>
          <w:sz w:val="20"/>
          <w:lang w:val="en-US"/>
        </w:rPr>
        <w:tab/>
      </w:r>
      <w:r w:rsidR="00C80A55" w:rsidRPr="006D3B7D">
        <w:rPr>
          <w:sz w:val="20"/>
          <w:lang w:val="en-US"/>
        </w:rPr>
        <w:t>Construction of DMRS sequences</w:t>
      </w:r>
    </w:p>
    <w:p w:rsidR="00005DBD" w:rsidRPr="006D3B7D" w:rsidRDefault="00005DBD" w:rsidP="00005DBD">
      <w:pPr>
        <w:pStyle w:val="TdocHeader2"/>
        <w:jc w:val="left"/>
        <w:rPr>
          <w:sz w:val="20"/>
          <w:lang w:val="en-US"/>
        </w:rPr>
      </w:pPr>
      <w:r w:rsidRPr="006D3B7D">
        <w:rPr>
          <w:sz w:val="20"/>
          <w:lang w:val="en-US"/>
        </w:rPr>
        <w:t>Agenda Item:</w:t>
      </w:r>
      <w:r w:rsidRPr="006D3B7D">
        <w:rPr>
          <w:sz w:val="20"/>
          <w:lang w:val="en-US"/>
        </w:rPr>
        <w:tab/>
      </w:r>
      <w:r w:rsidR="006D3B7D" w:rsidRPr="006D3B7D">
        <w:rPr>
          <w:rFonts w:cs="Arial"/>
          <w:color w:val="312E25"/>
          <w:sz w:val="20"/>
          <w:szCs w:val="18"/>
          <w:lang w:eastAsia="sv-SE"/>
        </w:rPr>
        <w:t>6.2.2.1.1</w:t>
      </w:r>
    </w:p>
    <w:p w:rsidR="00005DBD" w:rsidRPr="007F1723" w:rsidRDefault="00005DBD" w:rsidP="00005DBD">
      <w:pPr>
        <w:pStyle w:val="TdocHeader2"/>
        <w:jc w:val="left"/>
        <w:rPr>
          <w:sz w:val="20"/>
          <w:lang w:val="en-US"/>
        </w:rPr>
      </w:pPr>
      <w:r w:rsidRPr="006D3B7D">
        <w:rPr>
          <w:sz w:val="20"/>
          <w:lang w:val="en-US"/>
        </w:rPr>
        <w:t>Document for:</w:t>
      </w:r>
      <w:r w:rsidRPr="006D3B7D">
        <w:rPr>
          <w:sz w:val="20"/>
          <w:lang w:val="en-US"/>
        </w:rPr>
        <w:tab/>
        <w:t>Discussion and Decision</w:t>
      </w:r>
    </w:p>
    <w:p w:rsidR="0078373C" w:rsidRPr="004306F8" w:rsidRDefault="00D77223" w:rsidP="004306F8">
      <w:pPr>
        <w:pStyle w:val="Heading1"/>
      </w:pPr>
      <w:bookmarkStart w:id="3" w:name="_Ref446688366"/>
      <w:bookmarkEnd w:id="0"/>
      <w:bookmarkEnd w:id="1"/>
      <w:r w:rsidRPr="007F1723">
        <w:t>Introduction</w:t>
      </w:r>
      <w:bookmarkEnd w:id="3"/>
    </w:p>
    <w:p w:rsidR="0002773A" w:rsidRDefault="00357232" w:rsidP="00C26457">
      <w:pPr>
        <w:pStyle w:val="BodyText"/>
        <w:spacing w:after="240"/>
        <w:jc w:val="both"/>
        <w:rPr>
          <w:spacing w:val="2"/>
          <w:sz w:val="20"/>
          <w:szCs w:val="20"/>
        </w:rPr>
      </w:pPr>
      <w:r>
        <w:rPr>
          <w:spacing w:val="2"/>
          <w:sz w:val="20"/>
          <w:szCs w:val="20"/>
        </w:rPr>
        <w:t>During RAN1#84bis, the following was agreed</w:t>
      </w:r>
      <w:r w:rsidR="00BB5340">
        <w:rPr>
          <w:spacing w:val="2"/>
          <w:sz w:val="20"/>
          <w:szCs w:val="20"/>
        </w:rPr>
        <w:t xml:space="preserve"> </w:t>
      </w:r>
      <w:r w:rsidR="00BB5340">
        <w:rPr>
          <w:spacing w:val="2"/>
          <w:sz w:val="20"/>
          <w:szCs w:val="20"/>
        </w:rPr>
        <w:fldChar w:fldCharType="begin"/>
      </w:r>
      <w:r w:rsidR="00BB5340">
        <w:rPr>
          <w:spacing w:val="2"/>
          <w:sz w:val="20"/>
          <w:szCs w:val="20"/>
        </w:rPr>
        <w:instrText xml:space="preserve"> REF _Ref448489991 \r \h </w:instrText>
      </w:r>
      <w:r w:rsidR="00BB5340">
        <w:rPr>
          <w:spacing w:val="2"/>
          <w:sz w:val="20"/>
          <w:szCs w:val="20"/>
        </w:rPr>
      </w:r>
      <w:r w:rsidR="00BB5340">
        <w:rPr>
          <w:spacing w:val="2"/>
          <w:sz w:val="20"/>
          <w:szCs w:val="20"/>
        </w:rPr>
        <w:fldChar w:fldCharType="separate"/>
      </w:r>
      <w:r w:rsidR="00BB5340">
        <w:rPr>
          <w:spacing w:val="2"/>
          <w:sz w:val="20"/>
          <w:szCs w:val="20"/>
        </w:rPr>
        <w:t>[1]</w:t>
      </w:r>
      <w:r w:rsidR="00BB5340">
        <w:rPr>
          <w:spacing w:val="2"/>
          <w:sz w:val="20"/>
          <w:szCs w:val="20"/>
        </w:rPr>
        <w:fldChar w:fldCharType="end"/>
      </w:r>
      <w:r>
        <w:rPr>
          <w:spacing w:val="2"/>
          <w:sz w:val="20"/>
          <w:szCs w:val="20"/>
        </w:rPr>
        <w:t>:</w:t>
      </w:r>
    </w:p>
    <w:p w:rsidR="00357232" w:rsidRDefault="00357232" w:rsidP="00357232">
      <w:pPr>
        <w:rPr>
          <w:rFonts w:eastAsia="MS Mincho"/>
          <w:lang w:val="en-US" w:eastAsia="ja-JP"/>
        </w:rPr>
      </w:pPr>
      <w:r>
        <w:rPr>
          <w:rFonts w:eastAsia="MS Mincho"/>
          <w:lang w:val="en-US" w:eastAsia="ja-JP"/>
        </w:rPr>
        <w:t>The three alternatives:</w:t>
      </w:r>
    </w:p>
    <w:p w:rsidR="00357232" w:rsidRPr="007E3EA8" w:rsidRDefault="00357232" w:rsidP="00357232">
      <w:pPr>
        <w:numPr>
          <w:ilvl w:val="0"/>
          <w:numId w:val="24"/>
        </w:numPr>
        <w:tabs>
          <w:tab w:val="clear" w:pos="720"/>
          <w:tab w:val="num" w:pos="360"/>
        </w:tabs>
        <w:spacing w:after="0"/>
        <w:ind w:left="360"/>
        <w:rPr>
          <w:rFonts w:eastAsia="MS Mincho"/>
          <w:lang w:val="en-US" w:eastAsia="ja-JP"/>
        </w:rPr>
      </w:pPr>
      <w:r w:rsidRPr="007E3EA8">
        <w:rPr>
          <w:rFonts w:eastAsia="MS Mincho"/>
          <w:lang w:val="en-US" w:eastAsia="ja-JP"/>
        </w:rPr>
        <w:t xml:space="preserve">Alt 1: </w:t>
      </w:r>
    </w:p>
    <w:p w:rsidR="00357232" w:rsidRDefault="00357232" w:rsidP="00357232">
      <w:pPr>
        <w:numPr>
          <w:ilvl w:val="1"/>
          <w:numId w:val="24"/>
        </w:numPr>
        <w:tabs>
          <w:tab w:val="clear" w:pos="1440"/>
          <w:tab w:val="num" w:pos="1080"/>
        </w:tabs>
        <w:spacing w:after="0"/>
        <w:ind w:left="1080"/>
        <w:rPr>
          <w:rFonts w:eastAsia="MS Mincho"/>
          <w:lang w:val="en-US" w:eastAsia="ja-JP"/>
        </w:rPr>
      </w:pPr>
      <w:r w:rsidRPr="007E3EA8">
        <w:rPr>
          <w:rFonts w:eastAsia="MS Mincho"/>
          <w:lang w:val="en-US" w:eastAsia="ja-JP"/>
        </w:rPr>
        <w:t>“4V structure”</w:t>
      </w:r>
      <w:r>
        <w:rPr>
          <w:rFonts w:eastAsia="MS Mincho"/>
          <w:lang w:val="en-US" w:eastAsia="ja-JP"/>
        </w:rPr>
        <w:t xml:space="preserve"> for PSSCH/PSCCH is kept (which is already an agreement in RAN1)</w:t>
      </w:r>
    </w:p>
    <w:p w:rsidR="00357232" w:rsidRPr="007E3EA8" w:rsidRDefault="00357232" w:rsidP="00357232">
      <w:pPr>
        <w:numPr>
          <w:ilvl w:val="1"/>
          <w:numId w:val="24"/>
        </w:numPr>
        <w:spacing w:after="0"/>
        <w:rPr>
          <w:rFonts w:eastAsia="MS Mincho"/>
          <w:lang w:val="en-US" w:eastAsia="ja-JP"/>
        </w:rPr>
      </w:pPr>
      <w:r>
        <w:rPr>
          <w:rFonts w:eastAsia="MS Mincho"/>
          <w:lang w:val="en-US" w:eastAsia="ja-JP"/>
        </w:rPr>
        <w:t>In order to</w:t>
      </w:r>
      <w:r w:rsidRPr="007E3EA8">
        <w:rPr>
          <w:rFonts w:eastAsia="MS Mincho"/>
          <w:lang w:val="en-US" w:eastAsia="ja-JP"/>
        </w:rPr>
        <w:t xml:space="preserve"> support </w:t>
      </w:r>
      <w:r>
        <w:rPr>
          <w:rFonts w:eastAsia="MS Mincho"/>
          <w:lang w:val="en-US" w:eastAsia="ja-JP"/>
        </w:rPr>
        <w:t>500 km/h relative speed case,  lowering the coding rate can be used</w:t>
      </w:r>
    </w:p>
    <w:p w:rsidR="00357232" w:rsidRPr="007E3EA8" w:rsidRDefault="00357232" w:rsidP="00357232">
      <w:pPr>
        <w:numPr>
          <w:ilvl w:val="2"/>
          <w:numId w:val="24"/>
        </w:numPr>
        <w:tabs>
          <w:tab w:val="clear" w:pos="2160"/>
          <w:tab w:val="num" w:pos="1800"/>
        </w:tabs>
        <w:spacing w:after="0"/>
        <w:ind w:left="1800"/>
        <w:rPr>
          <w:rFonts w:eastAsia="MS Mincho"/>
          <w:lang w:val="en-US" w:eastAsia="ja-JP"/>
        </w:rPr>
      </w:pPr>
      <w:r w:rsidRPr="007E3EA8">
        <w:rPr>
          <w:rFonts w:eastAsia="MS Mincho"/>
          <w:lang w:val="en-US" w:eastAsia="ja-JP"/>
        </w:rPr>
        <w:t>FFS how to adapt MCS, RB size, and/or number of transmission subframes depending on the situation</w:t>
      </w:r>
    </w:p>
    <w:p w:rsidR="00357232" w:rsidRPr="007E3EA8" w:rsidRDefault="00357232" w:rsidP="00357232">
      <w:pPr>
        <w:numPr>
          <w:ilvl w:val="3"/>
          <w:numId w:val="24"/>
        </w:numPr>
        <w:tabs>
          <w:tab w:val="clear" w:pos="2880"/>
          <w:tab w:val="num" w:pos="2520"/>
        </w:tabs>
        <w:spacing w:after="0"/>
        <w:ind w:left="2520"/>
        <w:rPr>
          <w:rFonts w:eastAsia="MS Mincho"/>
          <w:lang w:val="en-US" w:eastAsia="ja-JP"/>
        </w:rPr>
      </w:pPr>
      <w:r w:rsidRPr="007E3EA8">
        <w:rPr>
          <w:rFonts w:eastAsia="MS Mincho"/>
          <w:lang w:val="en-US" w:eastAsia="ja-JP"/>
        </w:rPr>
        <w:t>This may or may not have any specification impact</w:t>
      </w:r>
    </w:p>
    <w:p w:rsidR="00357232" w:rsidRPr="007E3EA8" w:rsidRDefault="00357232" w:rsidP="00357232">
      <w:pPr>
        <w:numPr>
          <w:ilvl w:val="1"/>
          <w:numId w:val="24"/>
        </w:numPr>
        <w:tabs>
          <w:tab w:val="clear" w:pos="1440"/>
          <w:tab w:val="num" w:pos="1080"/>
        </w:tabs>
        <w:spacing w:after="0"/>
        <w:ind w:left="1080"/>
        <w:rPr>
          <w:rFonts w:eastAsia="MS Mincho"/>
          <w:lang w:val="en-US" w:eastAsia="ja-JP"/>
        </w:rPr>
      </w:pPr>
      <w:r w:rsidRPr="007E3EA8">
        <w:rPr>
          <w:rFonts w:eastAsia="MS Mincho"/>
          <w:lang w:val="en-US" w:eastAsia="ja-JP"/>
        </w:rPr>
        <w:t xml:space="preserve">Confirm </w:t>
      </w:r>
      <w:r w:rsidRPr="007E3EA8">
        <w:rPr>
          <w:rFonts w:eastAsia="MS Mincho"/>
          <w:highlight w:val="darkYellow"/>
          <w:lang w:val="en-US" w:eastAsia="ja-JP"/>
        </w:rPr>
        <w:t>the working assumption</w:t>
      </w:r>
      <w:r w:rsidRPr="007E3EA8">
        <w:rPr>
          <w:rFonts w:eastAsia="MS Mincho"/>
          <w:lang w:val="en-US" w:eastAsia="ja-JP"/>
        </w:rPr>
        <w:t xml:space="preserve">: </w:t>
      </w:r>
    </w:p>
    <w:p w:rsidR="00357232" w:rsidRPr="007E3EA8" w:rsidRDefault="00357232" w:rsidP="00357232">
      <w:pPr>
        <w:numPr>
          <w:ilvl w:val="2"/>
          <w:numId w:val="24"/>
        </w:numPr>
        <w:tabs>
          <w:tab w:val="clear" w:pos="2160"/>
          <w:tab w:val="num" w:pos="1800"/>
        </w:tabs>
        <w:spacing w:after="0"/>
        <w:ind w:left="1800"/>
        <w:rPr>
          <w:rFonts w:eastAsia="MS Mincho"/>
          <w:lang w:val="en-US" w:eastAsia="ja-JP"/>
        </w:rPr>
      </w:pPr>
      <w:r w:rsidRPr="007E3EA8">
        <w:rPr>
          <w:rFonts w:eastAsia="MS Mincho"/>
          <w:lang w:val="en-US" w:eastAsia="ja-JP"/>
        </w:rPr>
        <w:t>15 kHz subcarrier spacing with 1 msec TTI length</w:t>
      </w:r>
    </w:p>
    <w:p w:rsidR="00357232" w:rsidRPr="007E3EA8" w:rsidRDefault="00357232" w:rsidP="00357232">
      <w:pPr>
        <w:numPr>
          <w:ilvl w:val="1"/>
          <w:numId w:val="24"/>
        </w:numPr>
        <w:tabs>
          <w:tab w:val="clear" w:pos="1440"/>
          <w:tab w:val="num" w:pos="1080"/>
        </w:tabs>
        <w:spacing w:after="0"/>
        <w:ind w:left="1080"/>
        <w:rPr>
          <w:rFonts w:eastAsia="MS Mincho"/>
          <w:lang w:val="en-US" w:eastAsia="ja-JP"/>
        </w:rPr>
      </w:pPr>
      <w:r w:rsidRPr="007E3EA8">
        <w:rPr>
          <w:rFonts w:eastAsia="MS Mincho"/>
          <w:lang w:val="en-US" w:eastAsia="ja-JP"/>
        </w:rPr>
        <w:t>Supported by:</w:t>
      </w:r>
    </w:p>
    <w:p w:rsidR="00357232" w:rsidRPr="007E3EA8" w:rsidRDefault="00357232" w:rsidP="00357232">
      <w:pPr>
        <w:numPr>
          <w:ilvl w:val="2"/>
          <w:numId w:val="24"/>
        </w:numPr>
        <w:tabs>
          <w:tab w:val="clear" w:pos="2160"/>
          <w:tab w:val="num" w:pos="1800"/>
        </w:tabs>
        <w:spacing w:after="0"/>
        <w:ind w:left="1800"/>
        <w:rPr>
          <w:rFonts w:eastAsia="MS Mincho"/>
          <w:lang w:val="en-US" w:eastAsia="ja-JP"/>
        </w:rPr>
      </w:pPr>
      <w:r w:rsidRPr="007E3EA8">
        <w:rPr>
          <w:rFonts w:eastAsia="MS Mincho"/>
          <w:lang w:val="en-US" w:eastAsia="ja-JP"/>
        </w:rPr>
        <w:t>LG Electronics, Huawei, HiSilicon, Samsung, CATT, ZTE, Nokia, ASB, OPPO (9)</w:t>
      </w:r>
    </w:p>
    <w:p w:rsidR="00357232" w:rsidRPr="007E3EA8" w:rsidRDefault="00357232" w:rsidP="00357232">
      <w:pPr>
        <w:numPr>
          <w:ilvl w:val="1"/>
          <w:numId w:val="24"/>
        </w:numPr>
        <w:tabs>
          <w:tab w:val="clear" w:pos="1440"/>
          <w:tab w:val="num" w:pos="1080"/>
        </w:tabs>
        <w:spacing w:after="0"/>
        <w:ind w:left="1080"/>
        <w:rPr>
          <w:rFonts w:eastAsia="MS Mincho"/>
          <w:lang w:val="en-US" w:eastAsia="ja-JP"/>
        </w:rPr>
      </w:pPr>
      <w:r w:rsidRPr="007E3EA8">
        <w:rPr>
          <w:rFonts w:eastAsia="MS Mincho"/>
          <w:lang w:val="en-US" w:eastAsia="ja-JP"/>
        </w:rPr>
        <w:t xml:space="preserve">Objected by: </w:t>
      </w:r>
    </w:p>
    <w:p w:rsidR="00357232" w:rsidRPr="007E3EA8" w:rsidRDefault="00357232" w:rsidP="00357232">
      <w:pPr>
        <w:numPr>
          <w:ilvl w:val="2"/>
          <w:numId w:val="24"/>
        </w:numPr>
        <w:tabs>
          <w:tab w:val="clear" w:pos="2160"/>
          <w:tab w:val="num" w:pos="1800"/>
        </w:tabs>
        <w:spacing w:after="0"/>
        <w:ind w:left="1800"/>
        <w:rPr>
          <w:rFonts w:eastAsia="MS Mincho"/>
          <w:lang w:val="en-US" w:eastAsia="ja-JP"/>
        </w:rPr>
      </w:pPr>
      <w:r w:rsidRPr="007E3EA8">
        <w:rPr>
          <w:rFonts w:eastAsia="MS Mincho"/>
          <w:lang w:val="en-US" w:eastAsia="ja-JP"/>
        </w:rPr>
        <w:t>E///, QC</w:t>
      </w:r>
    </w:p>
    <w:p w:rsidR="00357232" w:rsidRPr="007E3EA8" w:rsidRDefault="00357232" w:rsidP="00357232">
      <w:pPr>
        <w:numPr>
          <w:ilvl w:val="0"/>
          <w:numId w:val="25"/>
        </w:numPr>
        <w:tabs>
          <w:tab w:val="clear" w:pos="720"/>
          <w:tab w:val="num" w:pos="360"/>
        </w:tabs>
        <w:spacing w:after="0"/>
        <w:ind w:left="360"/>
        <w:rPr>
          <w:rFonts w:eastAsia="MS Mincho"/>
          <w:lang w:val="en-US" w:eastAsia="ja-JP"/>
        </w:rPr>
      </w:pPr>
      <w:r w:rsidRPr="007E3EA8">
        <w:rPr>
          <w:rFonts w:eastAsia="MS Mincho"/>
          <w:lang w:val="en-US" w:eastAsia="ja-JP"/>
        </w:rPr>
        <w:t>Alt 4: Alt 2 + Alt 3 (with 30kzh tone spacing)</w:t>
      </w:r>
    </w:p>
    <w:p w:rsidR="00357232" w:rsidRDefault="00357232" w:rsidP="00357232">
      <w:pPr>
        <w:numPr>
          <w:ilvl w:val="1"/>
          <w:numId w:val="25"/>
        </w:numPr>
        <w:tabs>
          <w:tab w:val="clear" w:pos="1440"/>
          <w:tab w:val="num" w:pos="1080"/>
        </w:tabs>
        <w:spacing w:after="0"/>
        <w:ind w:left="1080"/>
        <w:rPr>
          <w:rFonts w:eastAsia="MS Mincho"/>
          <w:lang w:val="en-US" w:eastAsia="ja-JP"/>
        </w:rPr>
      </w:pPr>
      <w:r w:rsidRPr="007E3EA8">
        <w:rPr>
          <w:rFonts w:eastAsia="MS Mincho"/>
          <w:lang w:val="en-US" w:eastAsia="ja-JP"/>
        </w:rPr>
        <w:t>Supported by: Intel</w:t>
      </w:r>
      <w:r>
        <w:rPr>
          <w:rFonts w:eastAsia="MS Mincho"/>
          <w:lang w:val="en-US" w:eastAsia="ja-JP"/>
        </w:rPr>
        <w:t>, Ericsson, Qualcomm, ITRI (4</w:t>
      </w:r>
      <w:r w:rsidRPr="007E3EA8">
        <w:rPr>
          <w:rFonts w:eastAsia="MS Mincho"/>
          <w:lang w:val="en-US" w:eastAsia="ja-JP"/>
        </w:rPr>
        <w:t>)</w:t>
      </w:r>
    </w:p>
    <w:p w:rsidR="00357232" w:rsidRDefault="00357232" w:rsidP="00357232">
      <w:pPr>
        <w:numPr>
          <w:ilvl w:val="0"/>
          <w:numId w:val="25"/>
        </w:numPr>
        <w:tabs>
          <w:tab w:val="clear" w:pos="720"/>
          <w:tab w:val="num" w:pos="360"/>
        </w:tabs>
        <w:spacing w:after="0"/>
        <w:ind w:left="360"/>
        <w:rPr>
          <w:rFonts w:eastAsia="MS Mincho"/>
          <w:lang w:val="en-US" w:eastAsia="ja-JP"/>
        </w:rPr>
      </w:pPr>
      <w:r>
        <w:rPr>
          <w:rFonts w:eastAsia="MS Mincho"/>
          <w:lang w:val="en-US" w:eastAsia="ja-JP"/>
        </w:rPr>
        <w:t>Alt 5: Alt 1 + adapt MCS, the number of RBs, and</w:t>
      </w:r>
      <w:r w:rsidRPr="007E3EA8">
        <w:rPr>
          <w:rFonts w:eastAsia="MS Mincho"/>
          <w:lang w:val="en-US" w:eastAsia="ja-JP"/>
        </w:rPr>
        <w:t xml:space="preserve"> number of transmission subframes </w:t>
      </w:r>
      <w:r>
        <w:rPr>
          <w:rFonts w:eastAsia="MS Mincho"/>
          <w:lang w:val="en-US" w:eastAsia="ja-JP"/>
        </w:rPr>
        <w:t>depending on the UE absolute speed and UE synchronization source (e.g, GNSS or eNB)</w:t>
      </w:r>
    </w:p>
    <w:p w:rsidR="00357232" w:rsidRPr="007E3EA8" w:rsidRDefault="00357232" w:rsidP="00357232">
      <w:pPr>
        <w:numPr>
          <w:ilvl w:val="1"/>
          <w:numId w:val="25"/>
        </w:numPr>
        <w:spacing w:after="0"/>
        <w:rPr>
          <w:rFonts w:eastAsia="MS Mincho"/>
          <w:lang w:val="en-US" w:eastAsia="ja-JP"/>
        </w:rPr>
      </w:pPr>
      <w:r>
        <w:rPr>
          <w:rFonts w:eastAsia="MS Mincho"/>
          <w:lang w:val="en-US" w:eastAsia="ja-JP"/>
        </w:rPr>
        <w:t>FFS: One or more PSCCH format(s) need to be supported</w:t>
      </w:r>
    </w:p>
    <w:p w:rsidR="00357232" w:rsidRDefault="00357232" w:rsidP="00357232">
      <w:pPr>
        <w:rPr>
          <w:rFonts w:eastAsia="MS Mincho"/>
          <w:b/>
          <w:lang w:val="en-US" w:eastAsia="ja-JP"/>
        </w:rPr>
      </w:pPr>
    </w:p>
    <w:p w:rsidR="00357232" w:rsidRPr="007C1868" w:rsidRDefault="00357232" w:rsidP="00357232">
      <w:pPr>
        <w:rPr>
          <w:rFonts w:eastAsia="MS Mincho"/>
          <w:b/>
          <w:u w:val="single"/>
          <w:lang w:val="en-US" w:eastAsia="ja-JP"/>
        </w:rPr>
      </w:pPr>
      <w:r w:rsidRPr="007C1868">
        <w:rPr>
          <w:rFonts w:eastAsia="MS Mincho"/>
          <w:b/>
          <w:highlight w:val="darkYellow"/>
          <w:u w:val="single"/>
          <w:lang w:val="en-US" w:eastAsia="ja-JP"/>
        </w:rPr>
        <w:t>Working assumption:</w:t>
      </w:r>
    </w:p>
    <w:p w:rsidR="00357232" w:rsidRDefault="00357232" w:rsidP="00357232">
      <w:pPr>
        <w:numPr>
          <w:ilvl w:val="0"/>
          <w:numId w:val="23"/>
        </w:numPr>
        <w:spacing w:after="0"/>
        <w:rPr>
          <w:rFonts w:eastAsia="MS Mincho"/>
          <w:lang w:val="en-US" w:eastAsia="ja-JP"/>
        </w:rPr>
      </w:pPr>
      <w:r w:rsidRPr="00865756">
        <w:rPr>
          <w:rFonts w:eastAsia="MS Mincho"/>
          <w:lang w:val="en-US" w:eastAsia="ja-JP"/>
        </w:rPr>
        <w:t>Alt. 5</w:t>
      </w:r>
    </w:p>
    <w:p w:rsidR="004C38AA" w:rsidRDefault="004C38AA" w:rsidP="006D3B7D">
      <w:pPr>
        <w:spacing w:after="0"/>
        <w:rPr>
          <w:rFonts w:eastAsia="MS Mincho"/>
          <w:lang w:val="en-US" w:eastAsia="ja-JP"/>
        </w:rPr>
      </w:pPr>
    </w:p>
    <w:p w:rsidR="004C38AA" w:rsidRPr="00865756" w:rsidRDefault="004C38AA" w:rsidP="006D3B7D">
      <w:pPr>
        <w:spacing w:after="0"/>
        <w:rPr>
          <w:rFonts w:eastAsia="MS Mincho"/>
          <w:lang w:val="en-US" w:eastAsia="ja-JP"/>
        </w:rPr>
      </w:pPr>
      <w:r>
        <w:rPr>
          <w:rFonts w:eastAsia="MS Mincho"/>
          <w:lang w:val="en-US" w:eastAsia="ja-JP"/>
        </w:rPr>
        <w:t>In this paper we discuss the design of DMRS sequences.</w:t>
      </w:r>
    </w:p>
    <w:p w:rsidR="0018305E" w:rsidRDefault="0018305E" w:rsidP="00D12CCF">
      <w:pPr>
        <w:pStyle w:val="Heading1"/>
      </w:pPr>
      <w:r>
        <w:t>DMRS sequences</w:t>
      </w:r>
    </w:p>
    <w:p w:rsidR="0018305E" w:rsidRDefault="0018305E" w:rsidP="006D3B7D">
      <w:pPr>
        <w:jc w:val="both"/>
      </w:pPr>
      <w:r>
        <w:t>In multiuser communications, it is interesting that the transmission of DMRS by different users can be separated at the receiver in order to estimate the channel from each transmitter. One way to do this is to ensure that different users transmit different DMRS sequences with low cross correlation.</w:t>
      </w:r>
      <w:r w:rsidR="00A14B80">
        <w:t xml:space="preserve"> </w:t>
      </w:r>
    </w:p>
    <w:p w:rsidR="00864F1B" w:rsidRDefault="00A14B80" w:rsidP="006D3B7D">
      <w:pPr>
        <w:jc w:val="both"/>
      </w:pPr>
      <w:r>
        <w:t xml:space="preserve">For transmission of SAs this is unacceptable since it would requires the UE to perform blind decodes. However, for transmission of data packets, the DMRS sequence use by the transmitter can be chosen as a function of the contents of the SA </w:t>
      </w:r>
      <w:r w:rsidR="00B10127">
        <w:fldChar w:fldCharType="begin"/>
      </w:r>
      <w:r w:rsidR="00B10127">
        <w:instrText xml:space="preserve"> REF _Ref449636150 \r \h </w:instrText>
      </w:r>
      <w:r w:rsidR="00B10127">
        <w:fldChar w:fldCharType="separate"/>
      </w:r>
      <w:r w:rsidR="00B10127">
        <w:t>[2]</w:t>
      </w:r>
      <w:r w:rsidR="00B10127">
        <w:fldChar w:fldCharType="end"/>
      </w:r>
      <w:r w:rsidR="00B10127">
        <w:t>.</w:t>
      </w:r>
      <w:r w:rsidR="002953D5">
        <w:t xml:space="preserve"> </w:t>
      </w:r>
    </w:p>
    <w:p w:rsidR="004C38AA" w:rsidRDefault="00864F1B" w:rsidP="006D3B7D">
      <w:pPr>
        <w:jc w:val="both"/>
        <w:rPr>
          <w:b/>
          <w:i/>
        </w:rPr>
      </w:pPr>
      <w:r>
        <w:t xml:space="preserve">We believe that it is also important to ensure that the impact of having different types of transmitters (e.g., pedestrian UEs and vehicle UEs) on the same resources is minimized. </w:t>
      </w:r>
    </w:p>
    <w:p w:rsidR="002953D5" w:rsidRPr="004C38AA" w:rsidRDefault="002953D5" w:rsidP="006D3B7D">
      <w:pPr>
        <w:jc w:val="both"/>
        <w:rPr>
          <w:b/>
          <w:i/>
        </w:rPr>
      </w:pPr>
      <w:r w:rsidRPr="006D3B7D">
        <w:rPr>
          <w:b/>
          <w:i/>
        </w:rPr>
        <w:t>Proposal:</w:t>
      </w:r>
    </w:p>
    <w:p w:rsidR="007B78C1" w:rsidRPr="006D3B7D" w:rsidRDefault="002953D5" w:rsidP="006D3B7D">
      <w:pPr>
        <w:pStyle w:val="ListParagraph"/>
        <w:numPr>
          <w:ilvl w:val="0"/>
          <w:numId w:val="29"/>
        </w:numPr>
        <w:jc w:val="both"/>
        <w:rPr>
          <w:rFonts w:ascii="Times New Roman" w:hAnsi="Times New Roman"/>
          <w:b/>
          <w:i/>
        </w:rPr>
      </w:pPr>
      <w:r w:rsidRPr="006D3B7D">
        <w:rPr>
          <w:rFonts w:ascii="Times New Roman" w:hAnsi="Times New Roman" w:cs="Times New Roman"/>
          <w:b/>
          <w:i/>
          <w:sz w:val="20"/>
          <w:szCs w:val="20"/>
        </w:rPr>
        <w:t>The DMRS sequence used in data transmissions is obtained a</w:t>
      </w:r>
      <w:r w:rsidR="007239C0">
        <w:rPr>
          <w:rFonts w:ascii="Times New Roman" w:hAnsi="Times New Roman" w:cs="Times New Roman"/>
          <w:b/>
          <w:i/>
          <w:sz w:val="20"/>
          <w:szCs w:val="20"/>
        </w:rPr>
        <w:t>s</w:t>
      </w:r>
      <w:r w:rsidRPr="006D3B7D">
        <w:rPr>
          <w:rFonts w:ascii="Times New Roman" w:hAnsi="Times New Roman" w:cs="Times New Roman"/>
          <w:b/>
          <w:i/>
          <w:sz w:val="20"/>
          <w:szCs w:val="20"/>
        </w:rPr>
        <w:t xml:space="preserve"> a function of the SA contents.</w:t>
      </w:r>
    </w:p>
    <w:p w:rsidR="002953D5" w:rsidRPr="006D3B7D" w:rsidRDefault="007B78C1" w:rsidP="006D3B7D">
      <w:pPr>
        <w:pStyle w:val="ListParagraph"/>
        <w:numPr>
          <w:ilvl w:val="0"/>
          <w:numId w:val="29"/>
        </w:numPr>
        <w:jc w:val="both"/>
        <w:rPr>
          <w:rFonts w:ascii="Times New Roman" w:hAnsi="Times New Roman"/>
          <w:b/>
          <w:i/>
        </w:rPr>
      </w:pPr>
      <w:r>
        <w:rPr>
          <w:rFonts w:ascii="Times New Roman" w:hAnsi="Times New Roman" w:cs="Times New Roman"/>
          <w:b/>
          <w:i/>
          <w:sz w:val="20"/>
          <w:szCs w:val="20"/>
        </w:rPr>
        <w:t xml:space="preserve">In case </w:t>
      </w:r>
      <w:r w:rsidR="00864F1B">
        <w:rPr>
          <w:rFonts w:ascii="Times New Roman" w:hAnsi="Times New Roman" w:cs="Times New Roman"/>
          <w:b/>
          <w:i/>
          <w:sz w:val="20"/>
          <w:szCs w:val="20"/>
        </w:rPr>
        <w:t xml:space="preserve">pools for different types of transmitters </w:t>
      </w:r>
      <w:r>
        <w:rPr>
          <w:rFonts w:ascii="Times New Roman" w:hAnsi="Times New Roman" w:cs="Times New Roman"/>
          <w:b/>
          <w:i/>
          <w:sz w:val="20"/>
          <w:szCs w:val="20"/>
        </w:rPr>
        <w:t>(e.g. P2X and V2X)</w:t>
      </w:r>
      <w:r w:rsidR="00864F1B">
        <w:rPr>
          <w:rFonts w:ascii="Times New Roman" w:hAnsi="Times New Roman" w:cs="Times New Roman"/>
          <w:b/>
          <w:i/>
          <w:sz w:val="20"/>
          <w:szCs w:val="20"/>
        </w:rPr>
        <w:t xml:space="preserve"> overlap</w:t>
      </w:r>
      <w:r>
        <w:rPr>
          <w:rFonts w:ascii="Times New Roman" w:hAnsi="Times New Roman" w:cs="Times New Roman"/>
          <w:b/>
          <w:i/>
          <w:sz w:val="20"/>
          <w:szCs w:val="20"/>
        </w:rPr>
        <w:t xml:space="preserve">, the DMRS sequences used by different </w:t>
      </w:r>
      <w:r w:rsidR="00864F1B">
        <w:rPr>
          <w:rFonts w:ascii="Times New Roman" w:hAnsi="Times New Roman" w:cs="Times New Roman"/>
          <w:b/>
          <w:i/>
          <w:sz w:val="20"/>
          <w:szCs w:val="20"/>
        </w:rPr>
        <w:t>types of transmitters</w:t>
      </w:r>
      <w:r>
        <w:rPr>
          <w:rFonts w:ascii="Times New Roman" w:hAnsi="Times New Roman" w:cs="Times New Roman"/>
          <w:b/>
          <w:i/>
          <w:sz w:val="20"/>
          <w:szCs w:val="20"/>
        </w:rPr>
        <w:t xml:space="preserve"> are different.</w:t>
      </w:r>
      <w:r w:rsidR="002953D5" w:rsidRPr="006D3B7D">
        <w:rPr>
          <w:rFonts w:ascii="Times New Roman" w:hAnsi="Times New Roman" w:cs="Times New Roman"/>
          <w:b/>
          <w:i/>
          <w:sz w:val="20"/>
          <w:szCs w:val="20"/>
        </w:rPr>
        <w:t xml:space="preserve"> </w:t>
      </w:r>
    </w:p>
    <w:p w:rsidR="007604DE" w:rsidRDefault="0018305E" w:rsidP="00D12CCF">
      <w:pPr>
        <w:pStyle w:val="Heading1"/>
      </w:pPr>
      <w:r>
        <w:t>C</w:t>
      </w:r>
      <w:r w:rsidR="002C45D0">
        <w:t>odes for DMRS sequences</w:t>
      </w:r>
      <w:r w:rsidR="00F22982">
        <w:t xml:space="preserve"> </w:t>
      </w:r>
    </w:p>
    <w:p w:rsidR="00A179CF" w:rsidRDefault="0018305E" w:rsidP="006D3B7D">
      <w:pPr>
        <w:jc w:val="both"/>
      </w:pPr>
      <w:r>
        <w:t>One further way of separating transmissions of DMRS by different users is through the use of codes</w:t>
      </w:r>
      <w:r w:rsidR="002C45D0">
        <w:t>. In LTE sidelink, orthogonal cover codes (OCC) with length 2 are used. These codes yield the best results when the channel stays constant between the two DMRS symbols. For V2V communication</w:t>
      </w:r>
      <w:r w:rsidR="004C38AA">
        <w:t>s</w:t>
      </w:r>
      <w:r w:rsidR="002C45D0">
        <w:t xml:space="preserve">, the channel coefficients will vary significantly across the 4 DMRS </w:t>
      </w:r>
      <w:r w:rsidR="002C45D0">
        <w:lastRenderedPageBreak/>
        <w:t xml:space="preserve">symbols, especially when the UEs travel at high speeds. For this reason, it is desirable </w:t>
      </w:r>
      <w:r w:rsidR="00EB592B">
        <w:t>that the codes also have good cross correlation properties when considering pairs of adjacent DMRS symbols.</w:t>
      </w:r>
    </w:p>
    <w:p w:rsidR="0014358E" w:rsidRDefault="0014358E" w:rsidP="006D3B7D">
      <w:pPr>
        <w:pStyle w:val="Caption"/>
        <w:keepNext/>
        <w:jc w:val="center"/>
      </w:pPr>
      <w:bookmarkStart w:id="4" w:name="_GoBack"/>
      <w:proofErr w:type="gramStart"/>
      <w:r>
        <w:t xml:space="preserve">Table </w:t>
      </w:r>
      <w:proofErr w:type="gramEnd"/>
      <w:r>
        <w:fldChar w:fldCharType="begin"/>
      </w:r>
      <w:r>
        <w:instrText xml:space="preserve"> SEQ Table \* ARABIC </w:instrText>
      </w:r>
      <w:r>
        <w:fldChar w:fldCharType="separate"/>
      </w:r>
      <w:r>
        <w:rPr>
          <w:noProof/>
        </w:rPr>
        <w:t>1</w:t>
      </w:r>
      <w:r>
        <w:fldChar w:fldCharType="end"/>
      </w:r>
      <w:proofErr w:type="gramStart"/>
      <w:r>
        <w:t>.</w:t>
      </w:r>
      <w:proofErr w:type="gramEnd"/>
      <w:r>
        <w:t xml:space="preserve"> Code defined by the DFT matrix.</w:t>
      </w:r>
    </w:p>
    <w:tbl>
      <w:tblPr>
        <w:tblStyle w:val="TableGrid"/>
        <w:tblW w:w="0" w:type="auto"/>
        <w:jc w:val="center"/>
        <w:tblLook w:val="04A0" w:firstRow="1" w:lastRow="0" w:firstColumn="1" w:lastColumn="0" w:noHBand="0" w:noVBand="1"/>
      </w:tblPr>
      <w:tblGrid>
        <w:gridCol w:w="1448"/>
        <w:gridCol w:w="889"/>
        <w:gridCol w:w="889"/>
        <w:gridCol w:w="889"/>
        <w:gridCol w:w="889"/>
      </w:tblGrid>
      <w:tr w:rsidR="0014358E" w:rsidTr="006D3B7D">
        <w:trPr>
          <w:jc w:val="center"/>
        </w:trPr>
        <w:tc>
          <w:tcPr>
            <w:tcW w:w="1448" w:type="dxa"/>
          </w:tcPr>
          <w:p w:rsidR="0014358E" w:rsidRDefault="0014358E" w:rsidP="002C45D0">
            <w:pPr>
              <w:jc w:val="both"/>
            </w:pPr>
          </w:p>
        </w:tc>
        <w:tc>
          <w:tcPr>
            <w:tcW w:w="889" w:type="dxa"/>
          </w:tcPr>
          <w:p w:rsidR="0014358E" w:rsidRDefault="0014358E" w:rsidP="002C45D0">
            <w:pPr>
              <w:jc w:val="both"/>
            </w:pPr>
            <w:r>
              <w:t>Code 1</w:t>
            </w:r>
          </w:p>
        </w:tc>
        <w:tc>
          <w:tcPr>
            <w:tcW w:w="889" w:type="dxa"/>
          </w:tcPr>
          <w:p w:rsidR="0014358E" w:rsidRDefault="0014358E" w:rsidP="002C45D0">
            <w:pPr>
              <w:jc w:val="both"/>
            </w:pPr>
            <w:r>
              <w:t>Code 2</w:t>
            </w:r>
          </w:p>
        </w:tc>
        <w:tc>
          <w:tcPr>
            <w:tcW w:w="889" w:type="dxa"/>
          </w:tcPr>
          <w:p w:rsidR="0014358E" w:rsidRDefault="0014358E" w:rsidP="002C45D0">
            <w:pPr>
              <w:jc w:val="both"/>
            </w:pPr>
            <w:r>
              <w:t>Code 3</w:t>
            </w:r>
          </w:p>
        </w:tc>
        <w:tc>
          <w:tcPr>
            <w:tcW w:w="889" w:type="dxa"/>
          </w:tcPr>
          <w:p w:rsidR="0014358E" w:rsidRDefault="0014358E" w:rsidP="002C45D0">
            <w:pPr>
              <w:jc w:val="both"/>
            </w:pPr>
            <w:r>
              <w:t>Code 4</w:t>
            </w:r>
          </w:p>
        </w:tc>
      </w:tr>
      <w:tr w:rsidR="0014358E" w:rsidTr="006D3B7D">
        <w:trPr>
          <w:jc w:val="center"/>
        </w:trPr>
        <w:tc>
          <w:tcPr>
            <w:tcW w:w="1448" w:type="dxa"/>
          </w:tcPr>
          <w:p w:rsidR="0014358E" w:rsidRDefault="0014358E" w:rsidP="002C45D0">
            <w:pPr>
              <w:jc w:val="both"/>
            </w:pPr>
            <w:r>
              <w:t>Symbol 1 (S</w:t>
            </w:r>
            <w:r w:rsidRPr="006D3B7D">
              <w:rPr>
                <w:vertAlign w:val="subscript"/>
              </w:rPr>
              <w:t>1</w:t>
            </w:r>
            <w:r>
              <w:t>)</w:t>
            </w:r>
          </w:p>
        </w:tc>
        <w:tc>
          <w:tcPr>
            <w:tcW w:w="889" w:type="dxa"/>
          </w:tcPr>
          <w:p w:rsidR="0014358E" w:rsidRDefault="0014358E" w:rsidP="006D3B7D">
            <w:pPr>
              <w:jc w:val="center"/>
            </w:pPr>
            <w:r>
              <w:t>1</w:t>
            </w:r>
          </w:p>
        </w:tc>
        <w:tc>
          <w:tcPr>
            <w:tcW w:w="889" w:type="dxa"/>
          </w:tcPr>
          <w:p w:rsidR="0014358E" w:rsidRDefault="0014358E" w:rsidP="006D3B7D">
            <w:pPr>
              <w:jc w:val="center"/>
            </w:pPr>
            <w:r>
              <w:t>1</w:t>
            </w:r>
          </w:p>
        </w:tc>
        <w:tc>
          <w:tcPr>
            <w:tcW w:w="889" w:type="dxa"/>
          </w:tcPr>
          <w:p w:rsidR="0014358E" w:rsidRDefault="0014358E" w:rsidP="006D3B7D">
            <w:pPr>
              <w:jc w:val="center"/>
            </w:pPr>
            <w:r>
              <w:t>1</w:t>
            </w:r>
          </w:p>
        </w:tc>
        <w:tc>
          <w:tcPr>
            <w:tcW w:w="889" w:type="dxa"/>
          </w:tcPr>
          <w:p w:rsidR="0014358E" w:rsidRDefault="0014358E" w:rsidP="006D3B7D">
            <w:pPr>
              <w:jc w:val="center"/>
            </w:pPr>
            <w:r>
              <w:t>1</w:t>
            </w:r>
          </w:p>
        </w:tc>
      </w:tr>
      <w:tr w:rsidR="0014358E" w:rsidTr="006D3B7D">
        <w:trPr>
          <w:jc w:val="center"/>
        </w:trPr>
        <w:tc>
          <w:tcPr>
            <w:tcW w:w="1448" w:type="dxa"/>
          </w:tcPr>
          <w:p w:rsidR="0014358E" w:rsidRDefault="0014358E" w:rsidP="002C45D0">
            <w:pPr>
              <w:jc w:val="both"/>
            </w:pPr>
            <w:r>
              <w:t>Symbol 2 (S</w:t>
            </w:r>
            <w:r>
              <w:rPr>
                <w:vertAlign w:val="subscript"/>
              </w:rPr>
              <w:t>2</w:t>
            </w:r>
            <w:r>
              <w:t>)</w:t>
            </w:r>
          </w:p>
        </w:tc>
        <w:tc>
          <w:tcPr>
            <w:tcW w:w="889" w:type="dxa"/>
          </w:tcPr>
          <w:p w:rsidR="0014358E" w:rsidRDefault="0014358E" w:rsidP="006D3B7D">
            <w:pPr>
              <w:jc w:val="center"/>
            </w:pPr>
            <w:r>
              <w:t>1</w:t>
            </w:r>
          </w:p>
        </w:tc>
        <w:tc>
          <w:tcPr>
            <w:tcW w:w="889" w:type="dxa"/>
          </w:tcPr>
          <w:p w:rsidR="0014358E" w:rsidRDefault="0014358E" w:rsidP="006D3B7D">
            <w:pPr>
              <w:jc w:val="center"/>
            </w:pPr>
            <w:r>
              <w:t>j</w:t>
            </w:r>
          </w:p>
        </w:tc>
        <w:tc>
          <w:tcPr>
            <w:tcW w:w="889" w:type="dxa"/>
          </w:tcPr>
          <w:p w:rsidR="0014358E" w:rsidRDefault="0014358E" w:rsidP="006D3B7D">
            <w:pPr>
              <w:jc w:val="center"/>
            </w:pPr>
            <w:r>
              <w:t>-1</w:t>
            </w:r>
          </w:p>
        </w:tc>
        <w:tc>
          <w:tcPr>
            <w:tcW w:w="889" w:type="dxa"/>
          </w:tcPr>
          <w:p w:rsidR="0014358E" w:rsidRDefault="0014358E" w:rsidP="006D3B7D">
            <w:pPr>
              <w:jc w:val="center"/>
            </w:pPr>
            <w:r>
              <w:t>-j</w:t>
            </w:r>
          </w:p>
        </w:tc>
      </w:tr>
      <w:tr w:rsidR="0014358E" w:rsidTr="006D3B7D">
        <w:trPr>
          <w:jc w:val="center"/>
        </w:trPr>
        <w:tc>
          <w:tcPr>
            <w:tcW w:w="1448" w:type="dxa"/>
          </w:tcPr>
          <w:p w:rsidR="0014358E" w:rsidRDefault="0014358E" w:rsidP="002C45D0">
            <w:pPr>
              <w:jc w:val="both"/>
            </w:pPr>
            <w:r>
              <w:t>Symbol 3 (S</w:t>
            </w:r>
            <w:r>
              <w:rPr>
                <w:vertAlign w:val="subscript"/>
              </w:rPr>
              <w:t>3</w:t>
            </w:r>
            <w:r>
              <w:t>)</w:t>
            </w:r>
          </w:p>
        </w:tc>
        <w:tc>
          <w:tcPr>
            <w:tcW w:w="889" w:type="dxa"/>
          </w:tcPr>
          <w:p w:rsidR="0014358E" w:rsidRDefault="0014358E" w:rsidP="006D3B7D">
            <w:pPr>
              <w:jc w:val="center"/>
            </w:pPr>
            <w:r>
              <w:t>1</w:t>
            </w:r>
          </w:p>
        </w:tc>
        <w:tc>
          <w:tcPr>
            <w:tcW w:w="889" w:type="dxa"/>
          </w:tcPr>
          <w:p w:rsidR="0014358E" w:rsidRDefault="0014358E" w:rsidP="006D3B7D">
            <w:pPr>
              <w:jc w:val="center"/>
            </w:pPr>
            <w:r>
              <w:t>-1</w:t>
            </w:r>
          </w:p>
        </w:tc>
        <w:tc>
          <w:tcPr>
            <w:tcW w:w="889" w:type="dxa"/>
          </w:tcPr>
          <w:p w:rsidR="0014358E" w:rsidRDefault="0014358E" w:rsidP="006D3B7D">
            <w:pPr>
              <w:jc w:val="center"/>
            </w:pPr>
            <w:r>
              <w:t>1</w:t>
            </w:r>
          </w:p>
        </w:tc>
        <w:tc>
          <w:tcPr>
            <w:tcW w:w="889" w:type="dxa"/>
          </w:tcPr>
          <w:p w:rsidR="0014358E" w:rsidRDefault="0014358E" w:rsidP="006D3B7D">
            <w:pPr>
              <w:jc w:val="center"/>
            </w:pPr>
            <w:r>
              <w:t>-1</w:t>
            </w:r>
          </w:p>
        </w:tc>
      </w:tr>
      <w:tr w:rsidR="0014358E" w:rsidTr="006D3B7D">
        <w:trPr>
          <w:jc w:val="center"/>
        </w:trPr>
        <w:tc>
          <w:tcPr>
            <w:tcW w:w="1448" w:type="dxa"/>
          </w:tcPr>
          <w:p w:rsidR="0014358E" w:rsidRDefault="0014358E" w:rsidP="002C45D0">
            <w:pPr>
              <w:jc w:val="both"/>
            </w:pPr>
            <w:r>
              <w:t>Symbol 4 (S</w:t>
            </w:r>
            <w:r>
              <w:rPr>
                <w:vertAlign w:val="subscript"/>
              </w:rPr>
              <w:t>4</w:t>
            </w:r>
            <w:r>
              <w:t>)</w:t>
            </w:r>
          </w:p>
        </w:tc>
        <w:tc>
          <w:tcPr>
            <w:tcW w:w="889" w:type="dxa"/>
          </w:tcPr>
          <w:p w:rsidR="0014358E" w:rsidRDefault="0014358E" w:rsidP="006D3B7D">
            <w:pPr>
              <w:jc w:val="center"/>
            </w:pPr>
            <w:r>
              <w:t>1</w:t>
            </w:r>
          </w:p>
        </w:tc>
        <w:tc>
          <w:tcPr>
            <w:tcW w:w="889" w:type="dxa"/>
          </w:tcPr>
          <w:p w:rsidR="0014358E" w:rsidRDefault="0014358E" w:rsidP="006D3B7D">
            <w:pPr>
              <w:jc w:val="center"/>
            </w:pPr>
            <w:r>
              <w:t>-j</w:t>
            </w:r>
          </w:p>
        </w:tc>
        <w:tc>
          <w:tcPr>
            <w:tcW w:w="889" w:type="dxa"/>
          </w:tcPr>
          <w:p w:rsidR="0014358E" w:rsidRDefault="0014358E" w:rsidP="006D3B7D">
            <w:pPr>
              <w:jc w:val="center"/>
            </w:pPr>
            <w:r>
              <w:t>-1</w:t>
            </w:r>
          </w:p>
        </w:tc>
        <w:tc>
          <w:tcPr>
            <w:tcW w:w="889" w:type="dxa"/>
          </w:tcPr>
          <w:p w:rsidR="0014358E" w:rsidRDefault="0014358E" w:rsidP="006D3B7D">
            <w:pPr>
              <w:jc w:val="center"/>
            </w:pPr>
            <w:r>
              <w:t>j</w:t>
            </w:r>
          </w:p>
        </w:tc>
      </w:tr>
    </w:tbl>
    <w:p w:rsidR="0014358E" w:rsidRPr="00850C61" w:rsidRDefault="0014358E" w:rsidP="006D3B7D">
      <w:pPr>
        <w:spacing w:before="240"/>
        <w:jc w:val="both"/>
      </w:pPr>
      <w:r w:rsidRPr="00850C61">
        <w:t>The DFT matrix defines codes with the following properties:</w:t>
      </w:r>
    </w:p>
    <w:p w:rsidR="0014358E" w:rsidRPr="006D3B7D" w:rsidRDefault="0014358E" w:rsidP="006D3B7D">
      <w:pPr>
        <w:pStyle w:val="ListParagraph"/>
        <w:numPr>
          <w:ilvl w:val="0"/>
          <w:numId w:val="28"/>
        </w:numPr>
        <w:jc w:val="both"/>
        <w:rPr>
          <w:rFonts w:ascii="Times New Roman" w:hAnsi="Times New Roman" w:hint="eastAsia"/>
        </w:rPr>
      </w:pPr>
      <w:r w:rsidRPr="006D3B7D">
        <w:rPr>
          <w:rFonts w:ascii="Times New Roman" w:hAnsi="Times New Roman" w:cs="Times New Roman"/>
          <w:sz w:val="20"/>
          <w:szCs w:val="20"/>
        </w:rPr>
        <w:t xml:space="preserve">Orthogonality between different codes: </w:t>
      </w:r>
      <m:oMath>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hint="eastAsia"/>
                    <w:sz w:val="20"/>
                    <w:szCs w:val="20"/>
                  </w:rPr>
                  <m:t>1</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hint="eastAsia"/>
                    <w:sz w:val="20"/>
                    <w:szCs w:val="20"/>
                  </w:rPr>
                  <m:t>2</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hint="eastAsia"/>
                    <w:sz w:val="20"/>
                    <w:szCs w:val="20"/>
                  </w:rPr>
                  <m:t>3</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hint="eastAsia"/>
                    <w:sz w:val="20"/>
                    <w:szCs w:val="20"/>
                  </w:rPr>
                  <m:t>4</m:t>
                </m:r>
              </m:sub>
            </m:sSub>
          </m:e>
        </m:d>
        <m:sSup>
          <m:sSupPr>
            <m:ctrlPr>
              <w:rPr>
                <w:rFonts w:ascii="Cambria Math" w:hAnsi="Cambria Math" w:cs="Times New Roman"/>
                <w:i/>
                <w:sz w:val="20"/>
                <w:szCs w:val="20"/>
              </w:rPr>
            </m:ctrlPr>
          </m:sSup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S</m:t>
                        </m:r>
                      </m:e>
                    </m:acc>
                  </m:e>
                  <m:sub>
                    <m:r>
                      <w:rPr>
                        <w:rFonts w:ascii="Cambria Math" w:hAnsi="Cambria Math" w:cs="Times New Roman" w:hint="eastAsia"/>
                        <w:sz w:val="20"/>
                        <w:szCs w:val="20"/>
                      </w:rPr>
                      <m:t>1</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S</m:t>
                        </m:r>
                      </m:e>
                    </m:acc>
                  </m:e>
                  <m:sub>
                    <m:r>
                      <w:rPr>
                        <w:rFonts w:ascii="Cambria Math" w:hAnsi="Cambria Math" w:cs="Times New Roman" w:hint="eastAsia"/>
                        <w:sz w:val="20"/>
                        <w:szCs w:val="20"/>
                      </w:rPr>
                      <m:t>2</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S</m:t>
                        </m:r>
                      </m:e>
                    </m:acc>
                  </m:e>
                  <m:sub>
                    <m:r>
                      <w:rPr>
                        <w:rFonts w:ascii="Cambria Math" w:hAnsi="Cambria Math" w:cs="Times New Roman" w:hint="eastAsia"/>
                        <w:sz w:val="20"/>
                        <w:szCs w:val="20"/>
                      </w:rPr>
                      <m:t>3</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S</m:t>
                        </m:r>
                      </m:e>
                    </m:acc>
                  </m:e>
                  <m:sub>
                    <m:r>
                      <w:rPr>
                        <w:rFonts w:ascii="Cambria Math" w:hAnsi="Cambria Math" w:cs="Times New Roman" w:hint="eastAsia"/>
                        <w:sz w:val="20"/>
                        <w:szCs w:val="20"/>
                      </w:rPr>
                      <m:t>4</m:t>
                    </m:r>
                  </m:sub>
                </m:sSub>
              </m:e>
            </m:d>
          </m:e>
          <m:sup>
            <m:r>
              <w:rPr>
                <w:rFonts w:ascii="Cambria Math" w:hAnsi="Cambria Math" w:cs="Times New Roman"/>
                <w:sz w:val="20"/>
                <w:szCs w:val="20"/>
              </w:rPr>
              <m:t>H</m:t>
            </m:r>
          </m:sup>
        </m:sSup>
        <m:r>
          <w:rPr>
            <w:rFonts w:ascii="Cambria Math" w:hAnsi="Cambria Math" w:cs="Times New Roman" w:hint="eastAsia"/>
            <w:sz w:val="20"/>
            <w:szCs w:val="20"/>
          </w:rPr>
          <m:t>=0</m:t>
        </m:r>
      </m:oMath>
    </w:p>
    <w:p w:rsidR="00C2502E" w:rsidRPr="006D3B7D" w:rsidRDefault="00C2502E" w:rsidP="00C2502E">
      <w:pPr>
        <w:pStyle w:val="ListParagraph"/>
        <w:numPr>
          <w:ilvl w:val="0"/>
          <w:numId w:val="28"/>
        </w:numPr>
        <w:jc w:val="both"/>
        <w:rPr>
          <w:rFonts w:ascii="Times New Roman" w:hAnsi="Times New Roman" w:cs="Times New Roman"/>
          <w:sz w:val="20"/>
          <w:szCs w:val="20"/>
        </w:rPr>
      </w:pPr>
      <w:r w:rsidRPr="006D3B7D">
        <w:rPr>
          <w:rFonts w:ascii="Times New Roman" w:hAnsi="Times New Roman" w:cs="Times New Roman"/>
          <w:sz w:val="20"/>
          <w:szCs w:val="20"/>
        </w:rPr>
        <w:t xml:space="preserve">Length-2 subcodes </w:t>
      </w:r>
      <w:bookmarkEnd w:id="4"/>
      <w:r w:rsidRPr="006D3B7D">
        <w:rPr>
          <w:rFonts w:ascii="Times New Roman" w:hAnsi="Times New Roman" w:cs="Times New Roman"/>
          <w:sz w:val="20"/>
          <w:szCs w:val="20"/>
        </w:rPr>
        <w:t xml:space="preserve">have low cross correlation: </w:t>
      </w:r>
      <m:oMath>
        <m:f>
          <m:fPr>
            <m:ctrlPr>
              <w:rPr>
                <w:rFonts w:ascii="Cambria Math" w:hAnsi="Cambria Math" w:cs="Times New Roman"/>
                <w:i/>
                <w:sz w:val="20"/>
                <w:szCs w:val="20"/>
              </w:rPr>
            </m:ctrlPr>
          </m:fPr>
          <m:num>
            <m:d>
              <m:dPr>
                <m:begChr m:val="|"/>
                <m:endChr m:val="|"/>
                <m:ctrlPr>
                  <w:rPr>
                    <w:rFonts w:ascii="Cambria Math" w:hAnsi="Cambria Math" w:cs="Times New Roman"/>
                    <w:i/>
                    <w:sz w:val="20"/>
                    <w:szCs w:val="20"/>
                  </w:rPr>
                </m:ctrlPr>
              </m:d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i+1</m:t>
                        </m:r>
                      </m:sub>
                    </m:sSub>
                  </m:e>
                </m:d>
                <m:sSup>
                  <m:sSupPr>
                    <m:ctrlPr>
                      <w:rPr>
                        <w:rFonts w:ascii="Cambria Math" w:hAnsi="Cambria Math" w:cs="Times New Roman"/>
                        <w:i/>
                        <w:sz w:val="20"/>
                        <w:szCs w:val="20"/>
                      </w:rPr>
                    </m:ctrlPr>
                  </m:sSup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S</m:t>
                                </m:r>
                              </m:e>
                            </m:acc>
                          </m:e>
                          <m:sub>
                            <m:r>
                              <w:rPr>
                                <w:rFonts w:ascii="Cambria Math" w:hAnsi="Cambria Math" w:cs="Times New Roman"/>
                                <w:sz w:val="20"/>
                                <w:szCs w:val="20"/>
                              </w:rPr>
                              <m:t>i</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S</m:t>
                                </m:r>
                              </m:e>
                            </m:acc>
                          </m:e>
                          <m:sub>
                            <m:r>
                              <w:rPr>
                                <w:rFonts w:ascii="Cambria Math" w:hAnsi="Cambria Math" w:cs="Times New Roman"/>
                                <w:sz w:val="20"/>
                                <w:szCs w:val="20"/>
                              </w:rPr>
                              <m:t>i+1</m:t>
                            </m:r>
                          </m:sub>
                        </m:sSub>
                      </m:e>
                    </m:d>
                  </m:e>
                  <m:sup>
                    <m:r>
                      <w:rPr>
                        <w:rFonts w:ascii="Cambria Math" w:hAnsi="Cambria Math" w:cs="Times New Roman"/>
                        <w:sz w:val="20"/>
                        <w:szCs w:val="20"/>
                      </w:rPr>
                      <m:t>H</m:t>
                    </m:r>
                  </m:sup>
                </m:sSup>
              </m:e>
            </m:d>
          </m:num>
          <m:den>
            <m:d>
              <m:dPr>
                <m:begChr m:val="|"/>
                <m:endChr m:val="|"/>
                <m:ctrlPr>
                  <w:rPr>
                    <w:rFonts w:ascii="Cambria Math" w:hAnsi="Cambria Math" w:cs="Times New Roman"/>
                    <w:i/>
                    <w:sz w:val="20"/>
                    <w:szCs w:val="20"/>
                  </w:rPr>
                </m:ctrlPr>
              </m:d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i+1</m:t>
                        </m:r>
                      </m:sub>
                    </m:sSub>
                  </m:e>
                </m:d>
                <m:sSup>
                  <m:sSupPr>
                    <m:ctrlPr>
                      <w:rPr>
                        <w:rFonts w:ascii="Cambria Math" w:hAnsi="Cambria Math" w:cs="Times New Roman"/>
                        <w:i/>
                        <w:sz w:val="20"/>
                        <w:szCs w:val="20"/>
                      </w:rPr>
                    </m:ctrlPr>
                  </m:sSup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i+1</m:t>
                            </m:r>
                          </m:sub>
                        </m:sSub>
                      </m:e>
                    </m:d>
                  </m:e>
                  <m:sup>
                    <m:r>
                      <w:rPr>
                        <w:rFonts w:ascii="Cambria Math" w:hAnsi="Cambria Math" w:cs="Times New Roman"/>
                        <w:sz w:val="20"/>
                        <w:szCs w:val="20"/>
                      </w:rPr>
                      <m:t>H</m:t>
                    </m:r>
                  </m:sup>
                </m:sSup>
              </m:e>
            </m:d>
          </m:den>
        </m:f>
        <m:r>
          <w:rPr>
            <w:rFonts w:ascii="Cambria Math" w:hAnsi="Cambria Math" w:cs="Times New Roman" w:hint="eastAsia"/>
            <w:sz w:val="20"/>
            <w:szCs w:val="20"/>
          </w:rPr>
          <m:t>=</m:t>
        </m:r>
        <m:d>
          <m:dPr>
            <m:begChr m:val="{"/>
            <m:endChr m:val="}"/>
            <m:ctrlPr>
              <w:rPr>
                <w:rFonts w:ascii="Cambria Math" w:hAnsi="Cambria Math" w:cs="Times New Roman"/>
                <w:i/>
                <w:sz w:val="20"/>
                <w:szCs w:val="20"/>
              </w:rPr>
            </m:ctrlPr>
          </m:dPr>
          <m:e>
            <m:r>
              <w:rPr>
                <w:rFonts w:ascii="Cambria Math" w:hAnsi="Cambria Math" w:cs="Times New Roman" w:hint="eastAsia"/>
                <w:sz w:val="20"/>
                <w:szCs w:val="20"/>
              </w:rPr>
              <m:t>0,</m:t>
            </m:r>
            <m:f>
              <m:fPr>
                <m:ctrlPr>
                  <w:rPr>
                    <w:rFonts w:ascii="Cambria Math" w:hAnsi="Cambria Math" w:cs="Times New Roman"/>
                    <w:i/>
                    <w:sz w:val="20"/>
                    <w:szCs w:val="20"/>
                  </w:rPr>
                </m:ctrlPr>
              </m:fPr>
              <m:num>
                <m:r>
                  <w:rPr>
                    <w:rFonts w:ascii="Cambria Math" w:hAnsi="Cambria Math" w:cs="Times New Roman" w:hint="eastAsia"/>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hint="eastAsia"/>
                        <w:sz w:val="20"/>
                        <w:szCs w:val="20"/>
                      </w:rPr>
                      <m:t>2</m:t>
                    </m:r>
                  </m:e>
                </m:rad>
              </m:den>
            </m:f>
          </m:e>
        </m:d>
      </m:oMath>
    </w:p>
    <w:p w:rsidR="004C38AA" w:rsidRDefault="004C38AA">
      <w:pPr>
        <w:rPr>
          <w:b/>
          <w:i/>
        </w:rPr>
      </w:pPr>
    </w:p>
    <w:p w:rsidR="002C45D0" w:rsidRPr="002C45D0" w:rsidRDefault="002C45D0">
      <w:pPr>
        <w:rPr>
          <w:b/>
          <w:i/>
        </w:rPr>
      </w:pPr>
      <w:r w:rsidRPr="002C45D0">
        <w:rPr>
          <w:b/>
          <w:i/>
        </w:rPr>
        <w:t>Proposal:</w:t>
      </w:r>
    </w:p>
    <w:p w:rsidR="002C45D0" w:rsidRPr="006D3B7D" w:rsidRDefault="002C45D0" w:rsidP="006D3B7D">
      <w:pPr>
        <w:pStyle w:val="ListParagraph"/>
        <w:numPr>
          <w:ilvl w:val="0"/>
          <w:numId w:val="27"/>
        </w:numPr>
        <w:jc w:val="both"/>
        <w:rPr>
          <w:b/>
          <w:i/>
        </w:rPr>
      </w:pPr>
      <w:r w:rsidRPr="006D3B7D">
        <w:rPr>
          <w:rFonts w:ascii="Times New Roman" w:hAnsi="Times New Roman" w:cs="Times New Roman"/>
          <w:b/>
          <w:i/>
          <w:sz w:val="20"/>
          <w:szCs w:val="20"/>
        </w:rPr>
        <w:t xml:space="preserve">For DMRS, orthogonal codes </w:t>
      </w:r>
      <w:r w:rsidR="00C7784D">
        <w:rPr>
          <w:rFonts w:ascii="Times New Roman" w:hAnsi="Times New Roman" w:cs="Times New Roman"/>
          <w:b/>
          <w:i/>
          <w:sz w:val="20"/>
          <w:szCs w:val="20"/>
        </w:rPr>
        <w:t xml:space="preserve">based on the DFT matrix </w:t>
      </w:r>
      <w:r w:rsidR="004C38AA">
        <w:rPr>
          <w:rFonts w:ascii="Times New Roman" w:hAnsi="Times New Roman" w:cs="Times New Roman"/>
          <w:b/>
          <w:i/>
          <w:sz w:val="20"/>
          <w:szCs w:val="20"/>
        </w:rPr>
        <w:t xml:space="preserve">(Table 1) </w:t>
      </w:r>
      <w:r w:rsidR="00C7784D">
        <w:rPr>
          <w:rFonts w:ascii="Times New Roman" w:hAnsi="Times New Roman" w:cs="Times New Roman"/>
          <w:b/>
          <w:i/>
          <w:sz w:val="20"/>
          <w:szCs w:val="20"/>
        </w:rPr>
        <w:t>are used.</w:t>
      </w:r>
    </w:p>
    <w:p w:rsidR="00D0339F" w:rsidRPr="00744368" w:rsidRDefault="00D0339F" w:rsidP="00D0339F">
      <w:pPr>
        <w:pStyle w:val="Heading1"/>
      </w:pPr>
      <w:r w:rsidRPr="00744368">
        <w:t>Conclusions</w:t>
      </w:r>
      <w:r w:rsidR="00A11B11" w:rsidRPr="00744368">
        <w:t xml:space="preserve"> </w:t>
      </w:r>
    </w:p>
    <w:p w:rsidR="004C38AA" w:rsidRPr="004C38AA" w:rsidRDefault="004C38AA" w:rsidP="004C38AA">
      <w:pPr>
        <w:jc w:val="both"/>
        <w:rPr>
          <w:b/>
          <w:i/>
        </w:rPr>
      </w:pPr>
      <w:r w:rsidRPr="00390C03">
        <w:rPr>
          <w:b/>
          <w:i/>
        </w:rPr>
        <w:t>Proposal:</w:t>
      </w:r>
    </w:p>
    <w:p w:rsidR="004C38AA" w:rsidRPr="006D3B7D" w:rsidRDefault="004C38AA" w:rsidP="004C38AA">
      <w:pPr>
        <w:pStyle w:val="ListParagraph"/>
        <w:numPr>
          <w:ilvl w:val="0"/>
          <w:numId w:val="29"/>
        </w:numPr>
        <w:jc w:val="both"/>
        <w:rPr>
          <w:rFonts w:ascii="Times New Roman" w:hAnsi="Times New Roman"/>
          <w:b/>
          <w:i/>
        </w:rPr>
      </w:pPr>
      <w:r w:rsidRPr="00390C03">
        <w:rPr>
          <w:rFonts w:ascii="Times New Roman" w:hAnsi="Times New Roman" w:cs="Times New Roman"/>
          <w:b/>
          <w:i/>
          <w:sz w:val="20"/>
          <w:szCs w:val="20"/>
        </w:rPr>
        <w:t>The DMRS sequence used in data transmissions is obtained a</w:t>
      </w:r>
      <w:r>
        <w:rPr>
          <w:rFonts w:ascii="Times New Roman" w:hAnsi="Times New Roman" w:cs="Times New Roman"/>
          <w:b/>
          <w:i/>
          <w:sz w:val="20"/>
          <w:szCs w:val="20"/>
        </w:rPr>
        <w:t>s</w:t>
      </w:r>
      <w:r w:rsidRPr="00390C03">
        <w:rPr>
          <w:rFonts w:ascii="Times New Roman" w:hAnsi="Times New Roman" w:cs="Times New Roman"/>
          <w:b/>
          <w:i/>
          <w:sz w:val="20"/>
          <w:szCs w:val="20"/>
        </w:rPr>
        <w:t xml:space="preserve"> a function of the SA contents.</w:t>
      </w:r>
    </w:p>
    <w:p w:rsidR="004306F8" w:rsidRPr="006D3B7D" w:rsidRDefault="004C38AA" w:rsidP="006D3B7D">
      <w:pPr>
        <w:pStyle w:val="ListParagraph"/>
        <w:numPr>
          <w:ilvl w:val="0"/>
          <w:numId w:val="29"/>
        </w:numPr>
        <w:jc w:val="both"/>
        <w:rPr>
          <w:b/>
          <w:bCs/>
          <w:i/>
          <w:iCs/>
        </w:rPr>
      </w:pPr>
      <w:r w:rsidRPr="006D3B7D">
        <w:rPr>
          <w:rFonts w:ascii="Times New Roman" w:hAnsi="Times New Roman" w:cs="Times New Roman"/>
          <w:b/>
          <w:i/>
          <w:sz w:val="20"/>
          <w:szCs w:val="20"/>
        </w:rPr>
        <w:t xml:space="preserve">In case pools for different types of transmitters (e.g. P2X and V2X) overlap, the DMRS sequences used by different types of transmitters are different. </w:t>
      </w:r>
    </w:p>
    <w:p w:rsidR="00BB5340" w:rsidRDefault="00BB5340" w:rsidP="004306F8">
      <w:pPr>
        <w:spacing w:after="0"/>
        <w:rPr>
          <w:b/>
          <w:bCs/>
          <w:i/>
          <w:iCs/>
        </w:rPr>
      </w:pPr>
    </w:p>
    <w:p w:rsidR="004C38AA" w:rsidRPr="002C45D0" w:rsidRDefault="004C38AA" w:rsidP="004C38AA">
      <w:pPr>
        <w:rPr>
          <w:b/>
          <w:i/>
        </w:rPr>
      </w:pPr>
      <w:r w:rsidRPr="002C45D0">
        <w:rPr>
          <w:b/>
          <w:i/>
        </w:rPr>
        <w:t>Proposal:</w:t>
      </w:r>
    </w:p>
    <w:p w:rsidR="004C38AA" w:rsidRPr="00390C03" w:rsidRDefault="004C38AA" w:rsidP="004C38AA">
      <w:pPr>
        <w:pStyle w:val="ListParagraph"/>
        <w:numPr>
          <w:ilvl w:val="0"/>
          <w:numId w:val="27"/>
        </w:numPr>
        <w:jc w:val="both"/>
        <w:rPr>
          <w:b/>
          <w:i/>
        </w:rPr>
      </w:pPr>
      <w:r w:rsidRPr="00390C03">
        <w:rPr>
          <w:rFonts w:ascii="Times New Roman" w:hAnsi="Times New Roman" w:cs="Times New Roman"/>
          <w:b/>
          <w:i/>
          <w:sz w:val="20"/>
          <w:szCs w:val="20"/>
        </w:rPr>
        <w:t xml:space="preserve">For DMRS, orthogonal codes </w:t>
      </w:r>
      <w:r>
        <w:rPr>
          <w:rFonts w:ascii="Times New Roman" w:hAnsi="Times New Roman" w:cs="Times New Roman"/>
          <w:b/>
          <w:i/>
          <w:sz w:val="20"/>
          <w:szCs w:val="20"/>
        </w:rPr>
        <w:t>based on the DFT matrix (Table 1) are used.</w:t>
      </w:r>
    </w:p>
    <w:p w:rsidR="00BB5340" w:rsidRPr="00DB1858" w:rsidRDefault="00BB5340" w:rsidP="004306F8">
      <w:pPr>
        <w:spacing w:after="0"/>
        <w:rPr>
          <w:b/>
          <w:bCs/>
          <w:i/>
          <w:iCs/>
        </w:rPr>
      </w:pPr>
    </w:p>
    <w:p w:rsidR="009A1074" w:rsidRPr="00DA1475" w:rsidRDefault="00C02A80" w:rsidP="00856691">
      <w:pPr>
        <w:pStyle w:val="Heading1"/>
      </w:pPr>
      <w:r w:rsidRPr="00DA1475">
        <w:t>References</w:t>
      </w:r>
    </w:p>
    <w:p w:rsidR="00FE6265" w:rsidRPr="006D3B7D" w:rsidRDefault="00BB5340" w:rsidP="00B13B77">
      <w:pPr>
        <w:numPr>
          <w:ilvl w:val="0"/>
          <w:numId w:val="21"/>
        </w:numPr>
        <w:ind w:hanging="720"/>
        <w:rPr>
          <w:sz w:val="22"/>
          <w:szCs w:val="22"/>
        </w:rPr>
      </w:pPr>
      <w:bookmarkStart w:id="5" w:name="_Ref442446938"/>
      <w:r w:rsidRPr="006D3B7D">
        <w:rPr>
          <w:color w:val="312E25"/>
          <w:sz w:val="22"/>
          <w:szCs w:val="22"/>
          <w:lang w:eastAsia="sv-SE"/>
        </w:rPr>
        <w:t>RAN1#84bis, Chairman’s notes</w:t>
      </w:r>
    </w:p>
    <w:p w:rsidR="00417A97" w:rsidRPr="006D3B7D" w:rsidRDefault="006D3B7D" w:rsidP="006D3B7D">
      <w:pPr>
        <w:numPr>
          <w:ilvl w:val="0"/>
          <w:numId w:val="21"/>
        </w:numPr>
        <w:ind w:hanging="720"/>
        <w:rPr>
          <w:lang w:val="en-US"/>
        </w:rPr>
      </w:pPr>
      <w:bookmarkStart w:id="6" w:name="_Ref449636150"/>
      <w:r w:rsidRPr="006D3B7D">
        <w:rPr>
          <w:color w:val="312E25"/>
          <w:sz w:val="22"/>
          <w:szCs w:val="22"/>
          <w:lang w:eastAsia="sv-SE"/>
        </w:rPr>
        <w:t>R1-165264, “Contents of PSCCH for V2V over PC5”, Ericsson</w:t>
      </w:r>
      <w:bookmarkEnd w:id="5"/>
      <w:bookmarkEnd w:id="6"/>
    </w:p>
    <w:sectPr w:rsidR="00417A97" w:rsidRPr="006D3B7D"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283" w:rsidRDefault="00E25283">
      <w:r>
        <w:separator/>
      </w:r>
    </w:p>
  </w:endnote>
  <w:endnote w:type="continuationSeparator" w:id="0">
    <w:p w:rsidR="00E25283" w:rsidRDefault="00E25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283" w:rsidRDefault="00E25283">
      <w:r>
        <w:separator/>
      </w:r>
    </w:p>
  </w:footnote>
  <w:footnote w:type="continuationSeparator" w:id="0">
    <w:p w:rsidR="00E25283" w:rsidRDefault="00E252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3">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2812D8"/>
    <w:multiLevelType w:val="hybridMultilevel"/>
    <w:tmpl w:val="4D56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7D5775"/>
    <w:multiLevelType w:val="hybridMultilevel"/>
    <w:tmpl w:val="F2369E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717E9B"/>
    <w:multiLevelType w:val="hybridMultilevel"/>
    <w:tmpl w:val="6502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D5087D"/>
    <w:multiLevelType w:val="hybridMultilevel"/>
    <w:tmpl w:val="8DC89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74175AD8"/>
    <w:multiLevelType w:val="hybridMultilevel"/>
    <w:tmpl w:val="08502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2"/>
  </w:num>
  <w:num w:numId="2">
    <w:abstractNumId w:val="22"/>
  </w:num>
  <w:num w:numId="3">
    <w:abstractNumId w:val="18"/>
  </w:num>
  <w:num w:numId="4">
    <w:abstractNumId w:val="6"/>
  </w:num>
  <w:num w:numId="5">
    <w:abstractNumId w:val="9"/>
  </w:num>
  <w:num w:numId="6">
    <w:abstractNumId w:val="23"/>
  </w:num>
  <w:num w:numId="7">
    <w:abstractNumId w:val="13"/>
  </w:num>
  <w:num w:numId="8">
    <w:abstractNumId w:val="8"/>
  </w:num>
  <w:num w:numId="9">
    <w:abstractNumId w:val="14"/>
  </w:num>
  <w:num w:numId="10">
    <w:abstractNumId w:val="11"/>
  </w:num>
  <w:num w:numId="11">
    <w:abstractNumId w:val="4"/>
  </w:num>
  <w:num w:numId="12">
    <w:abstractNumId w:val="17"/>
  </w:num>
  <w:num w:numId="13">
    <w:abstractNumId w:val="20"/>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
  </w:num>
  <w:num w:numId="23">
    <w:abstractNumId w:val="7"/>
  </w:num>
  <w:num w:numId="24">
    <w:abstractNumId w:val="21"/>
  </w:num>
  <w:num w:numId="25">
    <w:abstractNumId w:val="2"/>
  </w:num>
  <w:num w:numId="26">
    <w:abstractNumId w:val="16"/>
  </w:num>
  <w:num w:numId="27">
    <w:abstractNumId w:val="19"/>
  </w:num>
  <w:num w:numId="28">
    <w:abstractNumId w:val="5"/>
  </w:num>
  <w:num w:numId="2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53D5"/>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AA"/>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7D"/>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9C0"/>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61"/>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835"/>
    <w:rsid w:val="00B05ACE"/>
    <w:rsid w:val="00B05ED5"/>
    <w:rsid w:val="00B0609F"/>
    <w:rsid w:val="00B0610F"/>
    <w:rsid w:val="00B06614"/>
    <w:rsid w:val="00B06793"/>
    <w:rsid w:val="00B07776"/>
    <w:rsid w:val="00B07D83"/>
    <w:rsid w:val="00B07DDD"/>
    <w:rsid w:val="00B100E8"/>
    <w:rsid w:val="00B10127"/>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8B5"/>
    <w:rsid w:val="00CE6A72"/>
    <w:rsid w:val="00CE719A"/>
    <w:rsid w:val="00CE7290"/>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7AA"/>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4CB1"/>
    <w:rsid w:val="00E25283"/>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466DC-6230-4DC7-B31C-49E7C950F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2015-11-06T13:50:00Z</dcterms:created>
  <dcterms:modified xsi:type="dcterms:W3CDTF">2016-05-13T10:32:00Z</dcterms:modified>
</cp:coreProperties>
</file>